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CAB0" w14:textId="4C782B4B" w:rsidR="007F55B6" w:rsidRDefault="007F55B6" w:rsidP="007F55B6">
      <w:pPr>
        <w:jc w:val="center"/>
        <w:rPr>
          <w:sz w:val="28"/>
          <w:szCs w:val="28"/>
          <w:u w:val="single"/>
          <w:lang w:val="es-CL"/>
        </w:rPr>
      </w:pPr>
      <w:r w:rsidRPr="00057402">
        <w:rPr>
          <w:sz w:val="28"/>
          <w:szCs w:val="28"/>
          <w:u w:val="single"/>
          <w:lang w:val="es-CL"/>
        </w:rPr>
        <w:t xml:space="preserve">Oficios sobre impuesto a la renta </w:t>
      </w:r>
      <w:r w:rsidR="00A6598D">
        <w:rPr>
          <w:sz w:val="28"/>
          <w:szCs w:val="28"/>
          <w:u w:val="single"/>
          <w:lang w:val="es-CL"/>
        </w:rPr>
        <w:t>febrero</w:t>
      </w:r>
      <w:r w:rsidRPr="00057402">
        <w:rPr>
          <w:sz w:val="28"/>
          <w:szCs w:val="28"/>
          <w:u w:val="single"/>
          <w:lang w:val="es-CL"/>
        </w:rPr>
        <w:t xml:space="preserve"> 202</w:t>
      </w:r>
      <w:r w:rsidR="00A6598D">
        <w:rPr>
          <w:sz w:val="28"/>
          <w:szCs w:val="28"/>
          <w:u w:val="single"/>
          <w:lang w:val="es-CL"/>
        </w:rPr>
        <w:t>6</w:t>
      </w:r>
    </w:p>
    <w:p w14:paraId="6687797F" w14:textId="77777777" w:rsidR="00983E66" w:rsidRPr="00983E66" w:rsidRDefault="00983E66" w:rsidP="007F55B6">
      <w:pPr>
        <w:jc w:val="center"/>
        <w:rPr>
          <w:sz w:val="28"/>
          <w:szCs w:val="28"/>
          <w:u w:val="single"/>
          <w:lang w:val="es-CL"/>
        </w:rPr>
      </w:pPr>
    </w:p>
    <w:p w14:paraId="76A0A24F" w14:textId="700E1A94" w:rsidR="008478A6" w:rsidRPr="00983E66" w:rsidRDefault="008478A6" w:rsidP="008478A6">
      <w:pPr>
        <w:pStyle w:val="Prrafodelista"/>
        <w:numPr>
          <w:ilvl w:val="0"/>
          <w:numId w:val="2"/>
        </w:numPr>
        <w:rPr>
          <w:b/>
          <w:bCs/>
          <w:lang w:val="es-CL"/>
        </w:rPr>
      </w:pPr>
      <w:r w:rsidRPr="00983E66">
        <w:rPr>
          <w:b/>
          <w:bCs/>
          <w:lang w:val="es-CL"/>
        </w:rPr>
        <w:t>Registro de rentas con tributación cumplida en caso de una sociedad de profesionales que opta por tributar según las reglas de primera categoría (Oficio N° 430, de 2026).</w:t>
      </w:r>
    </w:p>
    <w:p w14:paraId="76549C4F" w14:textId="0E245451" w:rsidR="007F55B6" w:rsidRPr="00983E66" w:rsidRDefault="007F55B6" w:rsidP="007F55B6">
      <w:pPr>
        <w:ind w:left="360"/>
        <w:rPr>
          <w:lang w:val="es-CL"/>
        </w:rPr>
      </w:pPr>
      <w:r w:rsidRPr="00983E66">
        <w:rPr>
          <w:lang w:val="es-CL"/>
        </w:rPr>
        <w:t xml:space="preserve">El SII confirmó que una sociedad de profesionales que deja de tributar en segunda categoría y opta por el régimen </w:t>
      </w:r>
      <w:proofErr w:type="gramStart"/>
      <w:r w:rsidRPr="00983E66">
        <w:rPr>
          <w:lang w:val="es-CL"/>
        </w:rPr>
        <w:t>pro pyme</w:t>
      </w:r>
      <w:proofErr w:type="gramEnd"/>
      <w:r w:rsidRPr="00983E66">
        <w:rPr>
          <w:lang w:val="es-CL"/>
        </w:rPr>
        <w:t xml:space="preserve"> general (art. 14 D N° 3 LIR) debe registrar las rentas con tributación cumplida provenientes de su etapa anterior en el registro REX, sin prioridad especial en su imputación, debiendo llevar los registros empresariales correspondientes</w:t>
      </w:r>
      <w:r w:rsidR="008478A6" w:rsidRPr="00983E66">
        <w:rPr>
          <w:lang w:val="es-CL"/>
        </w:rPr>
        <w:t>.</w:t>
      </w:r>
      <w:r w:rsidRPr="00983E66">
        <w:rPr>
          <w:lang w:val="es-CL"/>
        </w:rPr>
        <w:t xml:space="preserve"> </w:t>
      </w:r>
    </w:p>
    <w:p w14:paraId="0B16B3EA" w14:textId="77777777" w:rsidR="007F55B6" w:rsidRPr="00983E66" w:rsidRDefault="007F55B6" w:rsidP="007F55B6">
      <w:pPr>
        <w:ind w:left="360"/>
        <w:rPr>
          <w:lang w:val="es-CL"/>
        </w:rPr>
      </w:pPr>
    </w:p>
    <w:p w14:paraId="7558CEA9" w14:textId="01D3C620" w:rsidR="008478A6" w:rsidRPr="00983E66" w:rsidRDefault="008478A6" w:rsidP="008478A6">
      <w:pPr>
        <w:pStyle w:val="Prrafodelista"/>
        <w:numPr>
          <w:ilvl w:val="0"/>
          <w:numId w:val="2"/>
        </w:numPr>
        <w:rPr>
          <w:b/>
          <w:bCs/>
          <w:lang w:val="es-CL"/>
        </w:rPr>
      </w:pPr>
      <w:r w:rsidRPr="00983E66">
        <w:rPr>
          <w:b/>
          <w:bCs/>
          <w:lang w:val="es-CL"/>
        </w:rPr>
        <w:t>Retiros desproporcionados desde empresas acogidas al régimen propyme transparente</w:t>
      </w:r>
      <w:r w:rsidRPr="00983E66">
        <w:rPr>
          <w:b/>
          <w:bCs/>
          <w:lang w:val="es-CL"/>
        </w:rPr>
        <w:t xml:space="preserve"> </w:t>
      </w:r>
      <w:r w:rsidRPr="00983E66">
        <w:rPr>
          <w:b/>
          <w:bCs/>
          <w:lang w:val="es-CL"/>
        </w:rPr>
        <w:t>(Oficio N° 428, de 2026).</w:t>
      </w:r>
    </w:p>
    <w:p w14:paraId="77CF7268" w14:textId="34647D36" w:rsidR="007F55B6" w:rsidRPr="00983E66" w:rsidRDefault="007F55B6" w:rsidP="008478A6">
      <w:pPr>
        <w:ind w:left="360"/>
        <w:rPr>
          <w:lang w:val="es-CL"/>
        </w:rPr>
      </w:pPr>
      <w:r w:rsidRPr="00983E66">
        <w:rPr>
          <w:lang w:val="es-CL"/>
        </w:rPr>
        <w:t xml:space="preserve">El SII confirmó que en el régimen </w:t>
      </w:r>
      <w:proofErr w:type="gramStart"/>
      <w:r w:rsidRPr="00983E66">
        <w:rPr>
          <w:lang w:val="es-CL"/>
        </w:rPr>
        <w:t>pro pyme</w:t>
      </w:r>
      <w:proofErr w:type="gramEnd"/>
      <w:r w:rsidRPr="00983E66">
        <w:rPr>
          <w:lang w:val="es-CL"/>
        </w:rPr>
        <w:t xml:space="preserve"> transparente los retiros desproporcionados no infringen, en principio, norma tributaria alguna, ya que la tributación se produce por la atribución proporcional de la renta líquida y no por los retiros; sin perjuicio de ello, la operación puede ser revisada bajo la norma general antielusiva si se advierten elementos que lo justifiquen</w:t>
      </w:r>
      <w:r w:rsidR="008478A6" w:rsidRPr="00983E66">
        <w:rPr>
          <w:lang w:val="es-CL"/>
        </w:rPr>
        <w:t>.</w:t>
      </w:r>
      <w:r w:rsidRPr="00983E66">
        <w:rPr>
          <w:lang w:val="es-CL"/>
        </w:rPr>
        <w:t xml:space="preserve"> </w:t>
      </w:r>
    </w:p>
    <w:p w14:paraId="182BF2F8" w14:textId="77777777" w:rsidR="007F55B6" w:rsidRPr="00983E66" w:rsidRDefault="007F55B6" w:rsidP="007F55B6">
      <w:pPr>
        <w:ind w:left="360"/>
        <w:rPr>
          <w:lang w:val="es-CL"/>
        </w:rPr>
      </w:pPr>
    </w:p>
    <w:p w14:paraId="52A8EF0F" w14:textId="6CBCA907" w:rsidR="008478A6" w:rsidRPr="00983E66" w:rsidRDefault="008478A6" w:rsidP="008478A6">
      <w:pPr>
        <w:pStyle w:val="Prrafodelista"/>
        <w:numPr>
          <w:ilvl w:val="0"/>
          <w:numId w:val="2"/>
        </w:numPr>
        <w:rPr>
          <w:b/>
          <w:bCs/>
          <w:lang w:val="es-CL"/>
        </w:rPr>
      </w:pPr>
      <w:r w:rsidRPr="00983E66">
        <w:rPr>
          <w:b/>
          <w:bCs/>
          <w:lang w:val="es-CL"/>
        </w:rPr>
        <w:t>Condiciones que las empresas deben cumplir para los fines de su calificación como pyme</w:t>
      </w:r>
      <w:r w:rsidRPr="00983E66">
        <w:rPr>
          <w:b/>
          <w:bCs/>
          <w:lang w:val="es-CL"/>
        </w:rPr>
        <w:t xml:space="preserve"> </w:t>
      </w:r>
      <w:r w:rsidRPr="00983E66">
        <w:rPr>
          <w:b/>
          <w:bCs/>
          <w:lang w:val="es-CL"/>
        </w:rPr>
        <w:t>(Oficio N° 427, de 2026).</w:t>
      </w:r>
    </w:p>
    <w:p w14:paraId="34BC5298" w14:textId="30CF1EA5" w:rsidR="007F55B6" w:rsidRPr="00983E66" w:rsidRDefault="007F55B6" w:rsidP="008478A6">
      <w:pPr>
        <w:ind w:left="360"/>
        <w:rPr>
          <w:lang w:val="es-CL"/>
        </w:rPr>
      </w:pPr>
      <w:r w:rsidRPr="00983E66">
        <w:rPr>
          <w:lang w:val="es-CL"/>
        </w:rPr>
        <w:t xml:space="preserve">El SII precisó que para ingresar o mantenerse en el régimen </w:t>
      </w:r>
      <w:proofErr w:type="gramStart"/>
      <w:r w:rsidRPr="00983E66">
        <w:rPr>
          <w:lang w:val="es-CL"/>
        </w:rPr>
        <w:t>pro pyme</w:t>
      </w:r>
      <w:proofErr w:type="gramEnd"/>
      <w:r w:rsidRPr="00983E66">
        <w:rPr>
          <w:lang w:val="es-CL"/>
        </w:rPr>
        <w:t xml:space="preserve"> debe verificarse que los ingresos pasivos no excedan el 35% de los ingresos brutos del giro; si la empresa no registra ingresos del giro y solo percibe rentas pasivas, estas representan el 100% de los ingresos del período, superando el límite legal e impidiendo su permanencia en el régimen</w:t>
      </w:r>
      <w:r w:rsidR="008478A6" w:rsidRPr="00983E66">
        <w:rPr>
          <w:lang w:val="es-CL"/>
        </w:rPr>
        <w:t>.</w:t>
      </w:r>
    </w:p>
    <w:p w14:paraId="07CD6FBF" w14:textId="77777777" w:rsidR="007F55B6" w:rsidRPr="00983E66" w:rsidRDefault="007F55B6" w:rsidP="007F55B6">
      <w:pPr>
        <w:ind w:left="360"/>
        <w:rPr>
          <w:lang w:val="es-CL"/>
        </w:rPr>
      </w:pPr>
    </w:p>
    <w:p w14:paraId="3DD51FC2" w14:textId="06862F91" w:rsidR="005B07A3" w:rsidRPr="00983E66" w:rsidRDefault="005B07A3" w:rsidP="005B07A3">
      <w:pPr>
        <w:pStyle w:val="Prrafodelista"/>
        <w:numPr>
          <w:ilvl w:val="0"/>
          <w:numId w:val="2"/>
        </w:numPr>
        <w:rPr>
          <w:b/>
          <w:bCs/>
          <w:lang w:val="es-CL"/>
        </w:rPr>
      </w:pPr>
      <w:r w:rsidRPr="00983E66">
        <w:rPr>
          <w:b/>
          <w:bCs/>
          <w:lang w:val="es-CL"/>
        </w:rPr>
        <w:t>Tributación de ciertos ingresos percibidos por creadores de contenido digital</w:t>
      </w:r>
      <w:r w:rsidRPr="00983E66">
        <w:rPr>
          <w:b/>
          <w:bCs/>
          <w:lang w:val="es-CL"/>
        </w:rPr>
        <w:t xml:space="preserve"> </w:t>
      </w:r>
      <w:r w:rsidRPr="00983E66">
        <w:rPr>
          <w:b/>
          <w:bCs/>
          <w:lang w:val="es-CL"/>
        </w:rPr>
        <w:t>(Oficio N° 422, de 2026).</w:t>
      </w:r>
      <w:r w:rsidRPr="00983E66">
        <w:rPr>
          <w:b/>
          <w:bCs/>
          <w:lang w:val="es-CL"/>
        </w:rPr>
        <w:t xml:space="preserve"> </w:t>
      </w:r>
    </w:p>
    <w:p w14:paraId="4EECBC51" w14:textId="1310EFE1" w:rsidR="007F55B6" w:rsidRPr="00983E66" w:rsidRDefault="007F55B6" w:rsidP="005B07A3">
      <w:pPr>
        <w:ind w:left="360"/>
        <w:rPr>
          <w:lang w:val="es-CL"/>
        </w:rPr>
      </w:pPr>
      <w:r w:rsidRPr="00983E66">
        <w:rPr>
          <w:lang w:val="es-CL"/>
        </w:rPr>
        <w:t>El SII precisó que las retribuciones denominadas “donaciones”, “propinas” o similares que reciben los creadores de contenido digital a través de plataformas en línea constituyen, por regla general, rentas de segunda categoría (art. 42 N° 2 LIR) cuando predomina el trabajo personal, debiendo sujetarse a la Resolución Ex. N° 128 de 2025; no resulta aplicable el criterio usado para propinas de garzones o carteros</w:t>
      </w:r>
      <w:r w:rsidR="005B07A3" w:rsidRPr="00983E66">
        <w:rPr>
          <w:lang w:val="es-CL"/>
        </w:rPr>
        <w:t>.</w:t>
      </w:r>
    </w:p>
    <w:p w14:paraId="64F5B2EA" w14:textId="77777777" w:rsidR="007F55B6" w:rsidRPr="00983E66" w:rsidRDefault="007F55B6" w:rsidP="007F55B6">
      <w:pPr>
        <w:ind w:left="360"/>
        <w:rPr>
          <w:lang w:val="es-CL"/>
        </w:rPr>
      </w:pPr>
    </w:p>
    <w:p w14:paraId="121C9D13" w14:textId="77777777" w:rsidR="005B07A3" w:rsidRPr="00983E66" w:rsidRDefault="005B07A3" w:rsidP="007F55B6">
      <w:pPr>
        <w:ind w:left="360"/>
        <w:rPr>
          <w:lang w:val="es-CL"/>
        </w:rPr>
      </w:pPr>
    </w:p>
    <w:p w14:paraId="7724E8B7" w14:textId="5A57DD5B" w:rsidR="005B07A3" w:rsidRPr="00983E66" w:rsidRDefault="005B07A3" w:rsidP="005B07A3">
      <w:pPr>
        <w:pStyle w:val="Prrafodelista"/>
        <w:numPr>
          <w:ilvl w:val="0"/>
          <w:numId w:val="2"/>
        </w:numPr>
        <w:rPr>
          <w:b/>
          <w:bCs/>
          <w:lang w:val="es-CL"/>
        </w:rPr>
      </w:pPr>
      <w:r w:rsidRPr="00983E66">
        <w:rPr>
          <w:b/>
          <w:bCs/>
          <w:lang w:val="es-CL"/>
        </w:rPr>
        <w:t>Reorganización empresarial internacional</w:t>
      </w:r>
      <w:r w:rsidRPr="00983E66">
        <w:rPr>
          <w:b/>
          <w:bCs/>
          <w:lang w:val="es-CL"/>
        </w:rPr>
        <w:t xml:space="preserve"> </w:t>
      </w:r>
      <w:r w:rsidRPr="00983E66">
        <w:rPr>
          <w:b/>
          <w:bCs/>
          <w:lang w:val="es-CL"/>
        </w:rPr>
        <w:t>(Oficio N° 356, de 2026).</w:t>
      </w:r>
    </w:p>
    <w:p w14:paraId="4EA351AD" w14:textId="10659E5C" w:rsidR="007F55B6" w:rsidRPr="00983E66" w:rsidRDefault="007F55B6" w:rsidP="005B07A3">
      <w:pPr>
        <w:ind w:left="360"/>
        <w:rPr>
          <w:lang w:val="es-CL"/>
        </w:rPr>
      </w:pPr>
      <w:r w:rsidRPr="00983E66">
        <w:rPr>
          <w:lang w:val="es-CL"/>
        </w:rPr>
        <w:t>El SII precisó que el impuesto adicional del artículo 10 en relación con el N° 3 del artículo 58 LIR será aplicable a accionistas no residentes que enajenen, directa o indirectamente, al menos un 10% de instrumentos extranjeros cuyo valor provenga significativamente de activos subyacentes situados en Chile, verificándose además los requisitos de participación y umbrales legales; y confirmó que las alternativas de reorganización planteadas no cumplen las condiciones copulativas para acogerse a la excepción por reorganización empresarial del inciso final del artículo 10</w:t>
      </w:r>
      <w:r w:rsidR="005B07A3" w:rsidRPr="00983E66">
        <w:rPr>
          <w:lang w:val="es-CL"/>
        </w:rPr>
        <w:t>.</w:t>
      </w:r>
    </w:p>
    <w:p w14:paraId="1658C12A" w14:textId="77777777" w:rsidR="007F55B6" w:rsidRPr="00983E66" w:rsidRDefault="007F55B6" w:rsidP="007F55B6">
      <w:pPr>
        <w:ind w:left="360"/>
        <w:rPr>
          <w:lang w:val="es-CL"/>
        </w:rPr>
      </w:pPr>
    </w:p>
    <w:p w14:paraId="63754C8A" w14:textId="59800D1D" w:rsidR="005B07A3" w:rsidRPr="00983E66" w:rsidRDefault="005B07A3" w:rsidP="005B07A3">
      <w:pPr>
        <w:pStyle w:val="Prrafodelista"/>
        <w:numPr>
          <w:ilvl w:val="0"/>
          <w:numId w:val="2"/>
        </w:numPr>
        <w:rPr>
          <w:b/>
          <w:bCs/>
          <w:lang w:val="es-CL"/>
        </w:rPr>
      </w:pPr>
      <w:r w:rsidRPr="00983E66">
        <w:rPr>
          <w:b/>
          <w:bCs/>
          <w:lang w:val="es-CL"/>
        </w:rPr>
        <w:t>Donaciones efectuadas a trabajadores de una empresa con ocasión de catástrofe</w:t>
      </w:r>
      <w:r w:rsidRPr="00983E66">
        <w:rPr>
          <w:b/>
          <w:bCs/>
          <w:lang w:val="es-CL"/>
        </w:rPr>
        <w:t xml:space="preserve"> </w:t>
      </w:r>
      <w:r w:rsidRPr="00983E66">
        <w:rPr>
          <w:b/>
          <w:bCs/>
          <w:lang w:val="es-CL"/>
        </w:rPr>
        <w:t>(Oficio N° 312, de 2026).</w:t>
      </w:r>
    </w:p>
    <w:p w14:paraId="4AAF12CF" w14:textId="47E150CC" w:rsidR="000C6E15" w:rsidRPr="00983E66" w:rsidRDefault="000C6E15" w:rsidP="005B07A3">
      <w:pPr>
        <w:ind w:left="360"/>
        <w:rPr>
          <w:lang w:val="es-CL"/>
        </w:rPr>
      </w:pPr>
      <w:r w:rsidRPr="00983E66">
        <w:rPr>
          <w:lang w:val="es-CL"/>
        </w:rPr>
        <w:t>El SII confirmó que las empresas pueden deducir como gasto las donaciones en dinero o en especie efectuadas a sus trabajadores afectados por catástrofe, al amparo del artículo 7° de la Ley N° 16.282, considerando en este último caso el costo tributario de los bienes donados, y sin aplicar el impuesto del artículo 21 LIR, siempre que se cumplan los requisitos legales y se acredite que no constituyen remuneración</w:t>
      </w:r>
    </w:p>
    <w:p w14:paraId="0E435518" w14:textId="77777777" w:rsidR="000C6E15" w:rsidRPr="00983E66" w:rsidRDefault="000C6E15" w:rsidP="000C6E15">
      <w:pPr>
        <w:ind w:left="360"/>
        <w:rPr>
          <w:lang w:val="es-CL"/>
        </w:rPr>
      </w:pPr>
    </w:p>
    <w:p w14:paraId="25C05EFE" w14:textId="23C5FBA4" w:rsidR="005B07A3" w:rsidRPr="00983E66" w:rsidRDefault="005B07A3" w:rsidP="005B07A3">
      <w:pPr>
        <w:pStyle w:val="Prrafodelista"/>
        <w:numPr>
          <w:ilvl w:val="0"/>
          <w:numId w:val="2"/>
        </w:numPr>
        <w:rPr>
          <w:b/>
          <w:bCs/>
          <w:lang w:val="es-CL"/>
        </w:rPr>
      </w:pPr>
      <w:r w:rsidRPr="00983E66">
        <w:rPr>
          <w:b/>
          <w:bCs/>
          <w:lang w:val="es-CL"/>
        </w:rPr>
        <w:t>Efectos de la conversión de la empresa individual del causante</w:t>
      </w:r>
      <w:r w:rsidRPr="00983E66">
        <w:rPr>
          <w:b/>
          <w:bCs/>
          <w:lang w:val="es-CL"/>
        </w:rPr>
        <w:t xml:space="preserve"> </w:t>
      </w:r>
      <w:r w:rsidRPr="00983E66">
        <w:rPr>
          <w:b/>
          <w:bCs/>
          <w:lang w:val="es-CL"/>
        </w:rPr>
        <w:t>(Oficio N° 287, de 2026).</w:t>
      </w:r>
    </w:p>
    <w:p w14:paraId="07CFCB61" w14:textId="28043DB1" w:rsidR="000C6E15" w:rsidRPr="00983E66" w:rsidRDefault="000C6E15" w:rsidP="005B07A3">
      <w:pPr>
        <w:ind w:left="360"/>
        <w:rPr>
          <w:lang w:val="es-CL"/>
        </w:rPr>
      </w:pPr>
      <w:r w:rsidRPr="00983E66">
        <w:rPr>
          <w:lang w:val="es-CL"/>
        </w:rPr>
        <w:t>El SII confirmó que la sucesión hereditaria puede convertir la empresa individual del causante en una SpA dentro del plazo de tres años previsto en el artículo 5° LIR, sin término de giro, aplicando el artículo 69 del Código Tributario, siempre que la nueva sociedad asuma responsabilidad solidaria por los impuestos adeudados; precisando que los bienes personales no incorporados al giro deben aportarse separadamente, y que la legítima razón de negocios es una cuestión de hecho sujeta a fiscalización</w:t>
      </w:r>
      <w:r w:rsidR="005B07A3" w:rsidRPr="00983E66">
        <w:rPr>
          <w:lang w:val="es-CL"/>
        </w:rPr>
        <w:t>.</w:t>
      </w:r>
    </w:p>
    <w:p w14:paraId="1E3D36A2" w14:textId="77777777" w:rsidR="000C6E15" w:rsidRPr="00983E66" w:rsidRDefault="000C6E15" w:rsidP="000C6E15">
      <w:pPr>
        <w:ind w:left="360"/>
        <w:rPr>
          <w:lang w:val="es-CL"/>
        </w:rPr>
      </w:pPr>
    </w:p>
    <w:p w14:paraId="7E84AC3C" w14:textId="28CAEC78" w:rsidR="005B07A3" w:rsidRPr="00983E66" w:rsidRDefault="005B07A3" w:rsidP="005B07A3">
      <w:pPr>
        <w:pStyle w:val="Prrafodelista"/>
        <w:numPr>
          <w:ilvl w:val="0"/>
          <w:numId w:val="2"/>
        </w:numPr>
        <w:rPr>
          <w:b/>
          <w:bCs/>
          <w:lang w:val="es-CL"/>
        </w:rPr>
      </w:pPr>
      <w:r w:rsidRPr="00983E66">
        <w:rPr>
          <w:b/>
          <w:bCs/>
          <w:lang w:val="es-CL"/>
        </w:rPr>
        <w:t>Créditos por impuestos soportados en el exterior en caso de renta neta de fuente extranjera negativa</w:t>
      </w:r>
      <w:r w:rsidRPr="00983E66">
        <w:rPr>
          <w:b/>
          <w:bCs/>
          <w:lang w:val="es-CL"/>
        </w:rPr>
        <w:t xml:space="preserve"> </w:t>
      </w:r>
      <w:r w:rsidRPr="00983E66">
        <w:rPr>
          <w:b/>
          <w:bCs/>
          <w:lang w:val="es-CL"/>
        </w:rPr>
        <w:t xml:space="preserve">(Oficio N° 286, de 2026). </w:t>
      </w:r>
    </w:p>
    <w:p w14:paraId="667F2A42" w14:textId="746054BB" w:rsidR="000C6E15" w:rsidRPr="00983E66" w:rsidRDefault="000C6E15" w:rsidP="000C6E15">
      <w:pPr>
        <w:ind w:left="360"/>
        <w:rPr>
          <w:lang w:val="es-CL"/>
        </w:rPr>
      </w:pPr>
      <w:r w:rsidRPr="00983E66">
        <w:rPr>
          <w:lang w:val="es-CL"/>
        </w:rPr>
        <w:t xml:space="preserve">El SII confirmó que no procede el crédito por impuestos soportados en el exterior cuando la renta neta de fuente extranjera es cero o negativa, ya que el artículo 41 A LIR solo busca </w:t>
      </w:r>
      <w:r w:rsidRPr="00983E66">
        <w:rPr>
          <w:lang w:val="es-CL"/>
        </w:rPr>
        <w:lastRenderedPageBreak/>
        <w:t>evitar la doble tributación sobre rentas efectivamente gravadas en Chile; en consecuencia, tampoco corresponde solicitar devolución por impuestos pagados en el extranjero no utilizados</w:t>
      </w:r>
      <w:r w:rsidR="005B07A3" w:rsidRPr="00983E66">
        <w:rPr>
          <w:lang w:val="es-CL"/>
        </w:rPr>
        <w:t>.</w:t>
      </w:r>
    </w:p>
    <w:p w14:paraId="1D5F5D94" w14:textId="77777777" w:rsidR="000C6E15" w:rsidRPr="00983E66" w:rsidRDefault="000C6E15" w:rsidP="000C6E15">
      <w:pPr>
        <w:ind w:left="360"/>
        <w:rPr>
          <w:lang w:val="es-CL"/>
        </w:rPr>
      </w:pPr>
    </w:p>
    <w:p w14:paraId="287270FD" w14:textId="6899BAF9" w:rsidR="005B07A3" w:rsidRPr="00983E66" w:rsidRDefault="005B07A3" w:rsidP="005B07A3">
      <w:pPr>
        <w:pStyle w:val="Prrafodelista"/>
        <w:numPr>
          <w:ilvl w:val="0"/>
          <w:numId w:val="2"/>
        </w:numPr>
        <w:rPr>
          <w:b/>
          <w:bCs/>
          <w:lang w:val="es-CL"/>
        </w:rPr>
      </w:pPr>
      <w:r w:rsidRPr="00983E66">
        <w:rPr>
          <w:b/>
          <w:bCs/>
          <w:lang w:val="es-CL"/>
        </w:rPr>
        <w:t>Retiros efectuados desde una sociedad por los herederos de un socio fallecido</w:t>
      </w:r>
      <w:r w:rsidRPr="00983E66">
        <w:rPr>
          <w:b/>
          <w:bCs/>
          <w:lang w:val="es-CL"/>
        </w:rPr>
        <w:t xml:space="preserve"> </w:t>
      </w:r>
      <w:r w:rsidRPr="00983E66">
        <w:rPr>
          <w:b/>
          <w:bCs/>
          <w:lang w:val="es-CL"/>
        </w:rPr>
        <w:t>(Oficio N° 281, de 2026).</w:t>
      </w:r>
    </w:p>
    <w:p w14:paraId="2F772E06" w14:textId="66D65BA3" w:rsidR="000C6E15" w:rsidRPr="00983E66" w:rsidRDefault="000C6E15" w:rsidP="005B07A3">
      <w:pPr>
        <w:ind w:left="360"/>
        <w:rPr>
          <w:lang w:val="es-CL"/>
        </w:rPr>
      </w:pPr>
      <w:r w:rsidRPr="00983E66">
        <w:rPr>
          <w:lang w:val="es-CL"/>
        </w:rPr>
        <w:t>El SII precisó que, mientras opere la ficción del artículo 5° LIR, los retiros efectuados por los comuneros deben informarse en la DJ 1948 como retiros del causante; sin embargo, si la comunidad hereditaria se liquida dentro del año respectivo, la totalidad de las rentas y retiros de ese año deben declararse a nombre de los ex comuneros en proporción a sus cuotas, debiendo acreditarse los antecedentes en caso de fiscalización</w:t>
      </w:r>
      <w:r w:rsidR="005B07A3" w:rsidRPr="00983E66">
        <w:rPr>
          <w:lang w:val="es-CL"/>
        </w:rPr>
        <w:t>.</w:t>
      </w:r>
    </w:p>
    <w:p w14:paraId="097485F8" w14:textId="77777777" w:rsidR="000C6E15" w:rsidRPr="00983E66" w:rsidRDefault="000C6E15" w:rsidP="000C6E15">
      <w:pPr>
        <w:ind w:left="360"/>
        <w:rPr>
          <w:lang w:val="es-CL"/>
        </w:rPr>
      </w:pPr>
    </w:p>
    <w:p w14:paraId="0AC946A4" w14:textId="0E2268EA" w:rsidR="005B07A3" w:rsidRPr="00983E66" w:rsidRDefault="005B07A3" w:rsidP="005B07A3">
      <w:pPr>
        <w:pStyle w:val="Prrafodelista"/>
        <w:numPr>
          <w:ilvl w:val="0"/>
          <w:numId w:val="2"/>
        </w:numPr>
        <w:rPr>
          <w:b/>
          <w:bCs/>
          <w:lang w:val="es-CL"/>
        </w:rPr>
      </w:pPr>
      <w:r w:rsidRPr="00983E66">
        <w:rPr>
          <w:b/>
          <w:bCs/>
          <w:lang w:val="es-CL"/>
        </w:rPr>
        <w:t>Tratamiento tributario aplicable a un bono de cumplimiento de metas en proceso de fusión y reestructuración con traspaso de trabajadores</w:t>
      </w:r>
      <w:r w:rsidRPr="00983E66">
        <w:rPr>
          <w:b/>
          <w:bCs/>
          <w:lang w:val="es-CL"/>
        </w:rPr>
        <w:t xml:space="preserve"> </w:t>
      </w:r>
      <w:r w:rsidRPr="00983E66">
        <w:rPr>
          <w:b/>
          <w:bCs/>
          <w:lang w:val="es-CL"/>
        </w:rPr>
        <w:t>(Oficio N° 280, de 2026).</w:t>
      </w:r>
      <w:r w:rsidRPr="00983E66">
        <w:rPr>
          <w:b/>
          <w:bCs/>
          <w:lang w:val="es-CL"/>
        </w:rPr>
        <w:t xml:space="preserve"> </w:t>
      </w:r>
    </w:p>
    <w:p w14:paraId="70280624" w14:textId="06BED335" w:rsidR="000C6E15" w:rsidRPr="00983E66" w:rsidRDefault="000C6E15" w:rsidP="005B07A3">
      <w:pPr>
        <w:ind w:left="360"/>
        <w:rPr>
          <w:lang w:val="es-CL"/>
        </w:rPr>
      </w:pPr>
      <w:r w:rsidRPr="00983E66">
        <w:rPr>
          <w:lang w:val="es-CL"/>
        </w:rPr>
        <w:t>El SII confirmó que el bono de cumplimiento de metas pagado en procesos de fusión o reestructuración constituye una renta accesoria o complementaria afecta a Impuesto Único de Segunda Categoría, debiendo reliquidarse conforme al artículo 46 LIR y declararse proporcionalmente en la DJ F1887 según el periodo devengado; en cuanto al gasto, este se deduce por la empresa que lo paga o adeuda en el ejercicio en que nace la obligación, salvo que exista obligación de reembolso entre empleadores</w:t>
      </w:r>
      <w:r w:rsidR="005B07A3" w:rsidRPr="00983E66">
        <w:rPr>
          <w:lang w:val="es-CL"/>
        </w:rPr>
        <w:t>.</w:t>
      </w:r>
    </w:p>
    <w:p w14:paraId="09327962" w14:textId="77777777" w:rsidR="005B07A3" w:rsidRPr="00983E66" w:rsidRDefault="005B07A3" w:rsidP="005B07A3">
      <w:pPr>
        <w:ind w:left="360"/>
        <w:rPr>
          <w:lang w:val="es-CL"/>
        </w:rPr>
      </w:pPr>
    </w:p>
    <w:p w14:paraId="453DE4DF" w14:textId="4E4E75DF" w:rsidR="005B07A3" w:rsidRPr="00983E66" w:rsidRDefault="005B07A3" w:rsidP="005B07A3">
      <w:pPr>
        <w:pStyle w:val="Prrafodelista"/>
        <w:numPr>
          <w:ilvl w:val="0"/>
          <w:numId w:val="2"/>
        </w:numPr>
        <w:rPr>
          <w:b/>
          <w:bCs/>
          <w:lang w:val="es-CL"/>
        </w:rPr>
      </w:pPr>
      <w:r w:rsidRPr="00983E66">
        <w:rPr>
          <w:b/>
          <w:bCs/>
          <w:lang w:val="es-CL"/>
        </w:rPr>
        <w:t>Determinación mayor valor en rescate de cuotas de fondos mutuos en moneda extranjera</w:t>
      </w:r>
      <w:r w:rsidRPr="00983E66">
        <w:rPr>
          <w:b/>
          <w:bCs/>
          <w:lang w:val="es-CL"/>
        </w:rPr>
        <w:t xml:space="preserve"> </w:t>
      </w:r>
      <w:r w:rsidRPr="00983E66">
        <w:rPr>
          <w:b/>
          <w:bCs/>
          <w:lang w:val="es-CL"/>
        </w:rPr>
        <w:t>(Oficio N° 279, de 2026).</w:t>
      </w:r>
    </w:p>
    <w:p w14:paraId="409AA93A" w14:textId="483E7B8E" w:rsidR="000C6E15" w:rsidRPr="00983E66" w:rsidRDefault="000C6E15" w:rsidP="005B07A3">
      <w:pPr>
        <w:ind w:left="360"/>
        <w:rPr>
          <w:lang w:val="es-CL"/>
        </w:rPr>
      </w:pPr>
      <w:r w:rsidRPr="00983E66">
        <w:rPr>
          <w:lang w:val="es-CL"/>
        </w:rPr>
        <w:t>El SII confirmó que el procedimiento para determinar el mayor valor en el rescate de cuotas de fondos mutuos en moneda extranjera, instruido en los Oficios N° 966 de 2021 y N° 1.416 de 2022, fue aplicable para el Año Tributario 2022 y se mantiene vigente, debiendo la administradora informar y certificar el mayor valor conforme a dichas instrucciones, sin perjuicio de que la correcta declaración es responsabilidad del contribuyente</w:t>
      </w:r>
      <w:r w:rsidR="005B07A3" w:rsidRPr="00983E66">
        <w:rPr>
          <w:lang w:val="es-CL"/>
        </w:rPr>
        <w:t>.</w:t>
      </w:r>
    </w:p>
    <w:p w14:paraId="0BD7038A" w14:textId="77777777" w:rsidR="000C6E15" w:rsidRDefault="000C6E15" w:rsidP="000C6E15">
      <w:pPr>
        <w:ind w:left="360"/>
        <w:rPr>
          <w:lang w:val="es-CL"/>
        </w:rPr>
      </w:pPr>
    </w:p>
    <w:p w14:paraId="3BE9C6A8" w14:textId="77777777" w:rsidR="00983E66" w:rsidRDefault="00983E66" w:rsidP="000C6E15">
      <w:pPr>
        <w:ind w:left="360"/>
        <w:rPr>
          <w:lang w:val="es-CL"/>
        </w:rPr>
      </w:pPr>
    </w:p>
    <w:p w14:paraId="796057E3" w14:textId="77777777" w:rsidR="00983E66" w:rsidRPr="00983E66" w:rsidRDefault="00983E66" w:rsidP="000C6E15">
      <w:pPr>
        <w:ind w:left="360"/>
        <w:rPr>
          <w:lang w:val="es-CL"/>
        </w:rPr>
      </w:pPr>
    </w:p>
    <w:p w14:paraId="77E7D2BF" w14:textId="22DC6FDA" w:rsidR="00983E66" w:rsidRPr="00983E66" w:rsidRDefault="00983E66" w:rsidP="00983E66">
      <w:pPr>
        <w:pStyle w:val="Prrafodelista"/>
        <w:numPr>
          <w:ilvl w:val="0"/>
          <w:numId w:val="2"/>
        </w:numPr>
        <w:rPr>
          <w:b/>
          <w:bCs/>
          <w:lang w:val="es-CL"/>
        </w:rPr>
      </w:pPr>
      <w:r w:rsidRPr="00983E66">
        <w:rPr>
          <w:b/>
          <w:bCs/>
          <w:lang w:val="es-CL"/>
        </w:rPr>
        <w:lastRenderedPageBreak/>
        <w:t>Tributación de exchange traded funds con artículo 107 de la Ley sobre Impuesto a la Renta</w:t>
      </w:r>
      <w:r w:rsidRPr="00983E66">
        <w:rPr>
          <w:b/>
          <w:bCs/>
          <w:lang w:val="es-CL"/>
        </w:rPr>
        <w:t xml:space="preserve"> </w:t>
      </w:r>
      <w:r w:rsidRPr="00983E66">
        <w:rPr>
          <w:b/>
          <w:bCs/>
          <w:lang w:val="es-CL"/>
        </w:rPr>
        <w:t>(Oficio N° 278, de 2026).</w:t>
      </w:r>
    </w:p>
    <w:p w14:paraId="0871DA2B" w14:textId="5347C8B4" w:rsidR="000C6E15" w:rsidRPr="00983E66" w:rsidRDefault="000C6E15" w:rsidP="00983E66">
      <w:pPr>
        <w:ind w:left="360"/>
        <w:rPr>
          <w:lang w:val="es-CL"/>
        </w:rPr>
      </w:pPr>
      <w:r w:rsidRPr="00983E66">
        <w:rPr>
          <w:lang w:val="es-CL"/>
        </w:rPr>
        <w:t>El SII precisó que los ETF pueden acogerse al artículo 107 LIR —quedando afectos al impuesto único de 10% sobre el mayor valor— siempre que califiquen como fondo mutuo o fondo de inversión conforme a la Ley N° 20.712 y cumplan los requisitos legales; y señaló que sus operaciones deben informarse principalmente en las DJ N° 1891, 1922 y 1962, según su naturaleza y cumplimiento de requisitos</w:t>
      </w:r>
      <w:r w:rsidR="00983E66" w:rsidRPr="00983E66">
        <w:rPr>
          <w:lang w:val="es-CL"/>
        </w:rPr>
        <w:t>.</w:t>
      </w:r>
    </w:p>
    <w:p w14:paraId="1061479C" w14:textId="77777777" w:rsidR="008478A6" w:rsidRPr="00983E66" w:rsidRDefault="008478A6" w:rsidP="000C6E15">
      <w:pPr>
        <w:ind w:left="360"/>
        <w:rPr>
          <w:lang w:val="es-CL"/>
        </w:rPr>
      </w:pPr>
    </w:p>
    <w:p w14:paraId="7D2E027A" w14:textId="7F7241E6" w:rsidR="00983E66" w:rsidRPr="00983E66" w:rsidRDefault="00983E66" w:rsidP="00983E66">
      <w:pPr>
        <w:pStyle w:val="Prrafodelista"/>
        <w:numPr>
          <w:ilvl w:val="0"/>
          <w:numId w:val="2"/>
        </w:numPr>
        <w:rPr>
          <w:b/>
          <w:bCs/>
          <w:lang w:val="es-CL"/>
        </w:rPr>
      </w:pPr>
      <w:r w:rsidRPr="00983E66">
        <w:rPr>
          <w:b/>
          <w:bCs/>
          <w:lang w:val="es-CL"/>
        </w:rPr>
        <w:t xml:space="preserve">Obligación de informar conforme con el inciso final del artículo 55 bis de la Ley sobre Impuesto a la </w:t>
      </w:r>
      <w:proofErr w:type="gramStart"/>
      <w:r w:rsidRPr="00983E66">
        <w:rPr>
          <w:b/>
          <w:bCs/>
          <w:lang w:val="es-CL"/>
        </w:rPr>
        <w:t>Renta(</w:t>
      </w:r>
      <w:proofErr w:type="gramEnd"/>
      <w:r w:rsidRPr="00983E66">
        <w:rPr>
          <w:b/>
          <w:bCs/>
          <w:lang w:val="es-CL"/>
        </w:rPr>
        <w:t>Oficio N° 277, de 2026).</w:t>
      </w:r>
    </w:p>
    <w:p w14:paraId="56B8875C" w14:textId="7522BFDF" w:rsidR="008478A6" w:rsidRPr="00983E66" w:rsidRDefault="008478A6" w:rsidP="00983E66">
      <w:pPr>
        <w:ind w:left="360"/>
        <w:rPr>
          <w:lang w:val="es-CL"/>
        </w:rPr>
      </w:pPr>
      <w:r w:rsidRPr="00983E66">
        <w:rPr>
          <w:lang w:val="es-CL"/>
        </w:rPr>
        <w:t>El SII precisó que, en caso de cambio de entidad acreedora, cada institución debe informar los intereses hipotecarios pagados durante el período en que fue acreedora, manteniéndose el beneficio del artículo 55 bis LIR si el crédito cumple los requisitos; además, la entidad debe verificar al otorgar el crédito su destino habitacional, y el contribuyente debe mantener dicho destino para conservar el beneficio, el cual se pierde si el inmueble cambia a uso no habitacional</w:t>
      </w:r>
      <w:r w:rsidR="00983E66" w:rsidRPr="00983E66">
        <w:rPr>
          <w:lang w:val="es-CL"/>
        </w:rPr>
        <w:t>.</w:t>
      </w:r>
    </w:p>
    <w:p w14:paraId="36EE7E9F" w14:textId="77777777" w:rsidR="008478A6" w:rsidRPr="00983E66" w:rsidRDefault="008478A6" w:rsidP="008478A6">
      <w:pPr>
        <w:ind w:left="360"/>
        <w:rPr>
          <w:lang w:val="es-CL"/>
        </w:rPr>
      </w:pPr>
    </w:p>
    <w:p w14:paraId="1550F017" w14:textId="48E7F5EB" w:rsidR="00983E66" w:rsidRPr="00983E66" w:rsidRDefault="00983E66" w:rsidP="00983E66">
      <w:pPr>
        <w:pStyle w:val="Prrafodelista"/>
        <w:numPr>
          <w:ilvl w:val="0"/>
          <w:numId w:val="2"/>
        </w:numPr>
        <w:rPr>
          <w:b/>
          <w:bCs/>
          <w:lang w:val="es-CL"/>
        </w:rPr>
      </w:pPr>
      <w:r w:rsidRPr="00983E66">
        <w:rPr>
          <w:b/>
          <w:bCs/>
          <w:lang w:val="es-CL"/>
        </w:rPr>
        <w:t>Prima adicional incorporada por la Ley N° 21.674</w:t>
      </w:r>
      <w:r w:rsidRPr="00983E66">
        <w:rPr>
          <w:b/>
          <w:bCs/>
          <w:lang w:val="es-CL"/>
        </w:rPr>
        <w:t xml:space="preserve"> </w:t>
      </w:r>
      <w:r w:rsidRPr="00983E66">
        <w:rPr>
          <w:b/>
          <w:bCs/>
          <w:lang w:val="es-CL"/>
        </w:rPr>
        <w:t>(Oficio N° 275, de 2026).</w:t>
      </w:r>
    </w:p>
    <w:p w14:paraId="375F70F9" w14:textId="7BCE41BD" w:rsidR="008478A6" w:rsidRPr="00983E66" w:rsidRDefault="008478A6" w:rsidP="00983E66">
      <w:pPr>
        <w:ind w:left="360"/>
        <w:rPr>
          <w:lang w:val="es-CL"/>
        </w:rPr>
      </w:pPr>
      <w:r w:rsidRPr="00983E66">
        <w:rPr>
          <w:lang w:val="es-CL"/>
        </w:rPr>
        <w:t>El SII confirmó que la prima adicional pagada voluntariamente a una compañía de seguros en el marco de la Modalidad de Cobertura Complementaria (Ley N° 21.674) no constituye cotización de salud para efectos del artículo 84 del DL N° 3.500, por lo que no goza de la exención del artículo 18 del mismo decreto y debe incluirse en la base imponible del Impuesto Único de Segunda Categoría</w:t>
      </w:r>
      <w:r w:rsidR="00983E66" w:rsidRPr="00983E66">
        <w:rPr>
          <w:lang w:val="es-CL"/>
        </w:rPr>
        <w:t>.</w:t>
      </w:r>
    </w:p>
    <w:p w14:paraId="0D8DBCB5" w14:textId="77777777" w:rsidR="007F55B6" w:rsidRPr="00983E66" w:rsidRDefault="007F55B6">
      <w:pPr>
        <w:rPr>
          <w:lang w:val="es-CL"/>
        </w:rPr>
      </w:pPr>
    </w:p>
    <w:sectPr w:rsidR="007F55B6" w:rsidRPr="00983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7547B"/>
    <w:multiLevelType w:val="hybridMultilevel"/>
    <w:tmpl w:val="B43E67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CE0CF2"/>
    <w:multiLevelType w:val="hybridMultilevel"/>
    <w:tmpl w:val="E80A6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189658">
    <w:abstractNumId w:val="1"/>
  </w:num>
  <w:num w:numId="2" w16cid:durableId="134404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B6"/>
    <w:rsid w:val="000C6E15"/>
    <w:rsid w:val="000D7297"/>
    <w:rsid w:val="00277A89"/>
    <w:rsid w:val="003E7D8E"/>
    <w:rsid w:val="004E5A1B"/>
    <w:rsid w:val="005B07A3"/>
    <w:rsid w:val="007F55B6"/>
    <w:rsid w:val="008478A6"/>
    <w:rsid w:val="00983E66"/>
    <w:rsid w:val="00A6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E916"/>
  <w15:chartTrackingRefBased/>
  <w15:docId w15:val="{13049E56-3023-4942-A8CB-F3D35A65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5B6"/>
  </w:style>
  <w:style w:type="paragraph" w:styleId="Ttulo1">
    <w:name w:val="heading 1"/>
    <w:basedOn w:val="Normal"/>
    <w:next w:val="Normal"/>
    <w:link w:val="Ttulo1Car"/>
    <w:uiPriority w:val="9"/>
    <w:qFormat/>
    <w:rsid w:val="007F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F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F55B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F55B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F55B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F55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55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55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55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55B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F55B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F55B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F55B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F55B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F55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55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55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55B6"/>
    <w:rPr>
      <w:rFonts w:eastAsiaTheme="majorEastAsia" w:cstheme="majorBidi"/>
      <w:color w:val="272727" w:themeColor="text1" w:themeTint="D8"/>
    </w:rPr>
  </w:style>
  <w:style w:type="paragraph" w:styleId="Ttulo">
    <w:name w:val="Title"/>
    <w:basedOn w:val="Normal"/>
    <w:next w:val="Normal"/>
    <w:link w:val="TtuloCar"/>
    <w:uiPriority w:val="10"/>
    <w:qFormat/>
    <w:rsid w:val="007F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55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55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55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55B6"/>
    <w:pPr>
      <w:spacing w:before="160"/>
      <w:jc w:val="center"/>
    </w:pPr>
    <w:rPr>
      <w:i/>
      <w:iCs/>
      <w:color w:val="404040" w:themeColor="text1" w:themeTint="BF"/>
    </w:rPr>
  </w:style>
  <w:style w:type="character" w:customStyle="1" w:styleId="CitaCar">
    <w:name w:val="Cita Car"/>
    <w:basedOn w:val="Fuentedeprrafopredeter"/>
    <w:link w:val="Cita"/>
    <w:uiPriority w:val="29"/>
    <w:rsid w:val="007F55B6"/>
    <w:rPr>
      <w:i/>
      <w:iCs/>
      <w:color w:val="404040" w:themeColor="text1" w:themeTint="BF"/>
    </w:rPr>
  </w:style>
  <w:style w:type="paragraph" w:styleId="Prrafodelista">
    <w:name w:val="List Paragraph"/>
    <w:basedOn w:val="Normal"/>
    <w:uiPriority w:val="34"/>
    <w:qFormat/>
    <w:rsid w:val="007F55B6"/>
    <w:pPr>
      <w:ind w:left="720"/>
      <w:contextualSpacing/>
    </w:pPr>
  </w:style>
  <w:style w:type="character" w:styleId="nfasisintenso">
    <w:name w:val="Intense Emphasis"/>
    <w:basedOn w:val="Fuentedeprrafopredeter"/>
    <w:uiPriority w:val="21"/>
    <w:qFormat/>
    <w:rsid w:val="007F55B6"/>
    <w:rPr>
      <w:i/>
      <w:iCs/>
      <w:color w:val="2F5496" w:themeColor="accent1" w:themeShade="BF"/>
    </w:rPr>
  </w:style>
  <w:style w:type="paragraph" w:styleId="Citadestacada">
    <w:name w:val="Intense Quote"/>
    <w:basedOn w:val="Normal"/>
    <w:next w:val="Normal"/>
    <w:link w:val="CitadestacadaCar"/>
    <w:uiPriority w:val="30"/>
    <w:qFormat/>
    <w:rsid w:val="007F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F55B6"/>
    <w:rPr>
      <w:i/>
      <w:iCs/>
      <w:color w:val="2F5496" w:themeColor="accent1" w:themeShade="BF"/>
    </w:rPr>
  </w:style>
  <w:style w:type="character" w:styleId="Referenciaintensa">
    <w:name w:val="Intense Reference"/>
    <w:basedOn w:val="Fuentedeprrafopredeter"/>
    <w:uiPriority w:val="32"/>
    <w:qFormat/>
    <w:rsid w:val="007F55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1312</Words>
  <Characters>6340</Characters>
  <Application>Microsoft Office Word</Application>
  <DocSecurity>0</DocSecurity>
  <Lines>792</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Reymond</dc:creator>
  <cp:keywords/>
  <dc:description/>
  <cp:lastModifiedBy>Francisca Reymond</cp:lastModifiedBy>
  <cp:revision>2</cp:revision>
  <dcterms:created xsi:type="dcterms:W3CDTF">2026-03-01T18:29:00Z</dcterms:created>
  <dcterms:modified xsi:type="dcterms:W3CDTF">2026-03-01T19:17:00Z</dcterms:modified>
</cp:coreProperties>
</file>